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42" w:rsidRDefault="00360C42">
      <w:pPr>
        <w:rPr>
          <w:lang w:val="en-US"/>
        </w:rPr>
      </w:pPr>
      <w:r w:rsidRPr="00360C42">
        <w:rPr>
          <w:lang w:val="en-US"/>
        </w:rPr>
        <w:t>William</w:t>
      </w:r>
      <w:r>
        <w:rPr>
          <w:lang w:val="en-US"/>
        </w:rPr>
        <w:t xml:space="preserve"> Shakespeare  </w:t>
      </w:r>
    </w:p>
    <w:p w:rsidR="00265CD3" w:rsidRDefault="00360C42">
      <w:r w:rsidRPr="00360C42">
        <w:t xml:space="preserve">(Stratford </w:t>
      </w:r>
      <w:proofErr w:type="spellStart"/>
      <w:r w:rsidRPr="00360C42">
        <w:t>on</w:t>
      </w:r>
      <w:proofErr w:type="spellEnd"/>
      <w:r w:rsidRPr="00360C42">
        <w:t xml:space="preserve"> </w:t>
      </w:r>
      <w:proofErr w:type="spellStart"/>
      <w:r w:rsidRPr="00360C42">
        <w:t>Avon</w:t>
      </w:r>
      <w:proofErr w:type="spellEnd"/>
      <w:r w:rsidRPr="00360C42">
        <w:t xml:space="preserve">, Reino Unido, 1564-id., 1616) Dramaturgo y poeta inglés. Tercero de los ocho hijos de John Shakespeare, un acaudalado comerciante y político local, y Mary Arden, cuya familia había sufrido persecuciones religiosas derivadas de su confesión católica, poco o nada se sabe de su niñez y su adolescencia. Parece probable que estudiara en la </w:t>
      </w:r>
      <w:proofErr w:type="spellStart"/>
      <w:r w:rsidRPr="00360C42">
        <w:t>Grammar</w:t>
      </w:r>
      <w:proofErr w:type="spellEnd"/>
      <w:r w:rsidRPr="00360C42">
        <w:t xml:space="preserve"> </w:t>
      </w:r>
      <w:proofErr w:type="spellStart"/>
      <w:r w:rsidRPr="00360C42">
        <w:t>School</w:t>
      </w:r>
      <w:proofErr w:type="spellEnd"/>
      <w:r w:rsidRPr="00360C42">
        <w:t xml:space="preserve"> de su localidad natal, si bien se desconoce cuántos años y en qué circunstancias. Según un coetáneo suyo, aprendió «poco latín y menos griego», y en todo caso parece también probable que abandonara la escuela a temprana edad debido a las dificultades por que atravesaba su padre, ya fueran éstas económicas o derivadas de su carrera política. Sea como fuere, siempre se ha considerado a Shakespeare como una persona culta, pero no en exceso, y ello ha posibilitado el nacimiento de teorías según las cuales habría sido tan sólo el hombre de paja de alguien deseoso de permanecer en el anonimato literario. A ello ha contribuido también el hecho de que no se disponga en absoluto de escritos o cartas personales del autor, quien parece que sólo escribió, aparte de su producción poética, obras para la escena. Su andadura como dramaturgo empezó tras su traslado a Londres, donde rápidamente adquirió fama y popularidad en su trabajo para la compañía </w:t>
      </w:r>
      <w:proofErr w:type="spellStart"/>
      <w:r w:rsidRPr="00360C42">
        <w:t>Chaberlain’s</w:t>
      </w:r>
      <w:proofErr w:type="spellEnd"/>
      <w:r w:rsidRPr="00360C42">
        <w:t xml:space="preserve"> </w:t>
      </w:r>
      <w:proofErr w:type="spellStart"/>
      <w:r w:rsidRPr="00360C42">
        <w:t>Men</w:t>
      </w:r>
      <w:proofErr w:type="spellEnd"/>
      <w:r w:rsidRPr="00360C42">
        <w:t xml:space="preserve">, más tarde conocida como </w:t>
      </w:r>
      <w:proofErr w:type="spellStart"/>
      <w:r w:rsidRPr="00360C42">
        <w:t>King’s</w:t>
      </w:r>
      <w:proofErr w:type="spellEnd"/>
      <w:r w:rsidRPr="00360C42">
        <w:t xml:space="preserve"> </w:t>
      </w:r>
      <w:proofErr w:type="spellStart"/>
      <w:r w:rsidRPr="00360C42">
        <w:t>Men</w:t>
      </w:r>
      <w:proofErr w:type="spellEnd"/>
      <w:r w:rsidRPr="00360C42">
        <w:t xml:space="preserve">, propietaria de dos teatros, </w:t>
      </w:r>
      <w:proofErr w:type="spellStart"/>
      <w:r w:rsidRPr="00360C42">
        <w:t>The</w:t>
      </w:r>
      <w:proofErr w:type="spellEnd"/>
      <w:r w:rsidRPr="00360C42">
        <w:t xml:space="preserve"> </w:t>
      </w:r>
      <w:proofErr w:type="spellStart"/>
      <w:r w:rsidRPr="00360C42">
        <w:t>Globe</w:t>
      </w:r>
      <w:proofErr w:type="spellEnd"/>
      <w:r w:rsidRPr="00360C42">
        <w:t xml:space="preserve"> y </w:t>
      </w:r>
      <w:proofErr w:type="spellStart"/>
      <w:r w:rsidRPr="00360C42">
        <w:t>Blackfriars</w:t>
      </w:r>
      <w:proofErr w:type="spellEnd"/>
      <w:r w:rsidRPr="00360C42">
        <w:t>. También representó, con éxito, en la corte. Sus inicios fueron, sin embargo, humildes, y según las fuentes trabajó en los más variados oficios, si bien parece razonable suponer que estuvo desde el principio relacionado con el teatro, puesto que antes de consagrarse como autor se le conocía ya como actor. Su estancia en la capital británica se fecha, aproximadamente, entre 1590 y 1613, año este último en que dejó de escribir y se retiró a su localidad natal, donde adquirió una casa conocida como New Place, mientras invertía en bienes inmuebles de Londres la fortuna que había conseguido amasar.</w:t>
      </w:r>
      <w:r w:rsidRPr="00360C42">
        <w:cr/>
        <w:t xml:space="preserve">La publicación, en 1593, de su poema Venus y Adonis, muy bien acogido en los ambientes literarios londinenses, fue uno de sus primeros éxitos. De su producción poética posterior cabe destacar La violación de Lucrecia (1594) y los Sonetos (1609), de temática amorosa y que por sí solos lo situarían entre los grandes de la poesía anglosajona. Con todo, fue su actividad como dramaturgo lo que le dio fama en la época. Su obra, en total catorce comedias, diez tragedias y diez dramas históricos, es un exquisito compendio de los sentimientos, el dolor y las ambiciones del alma humana. Tras unas primeras tentativas, en las que se transparenta la influencia de </w:t>
      </w:r>
      <w:proofErr w:type="spellStart"/>
      <w:r w:rsidRPr="00360C42">
        <w:t>Marlowe</w:t>
      </w:r>
      <w:proofErr w:type="spellEnd"/>
      <w:r w:rsidRPr="00360C42">
        <w:t xml:space="preserve">, antes de 1600 aparecieron la mayoría de sus «comedias alegres» y algunos de sus dramas basados en la historia de Inglaterra. Destaca sobre todo la fantasía y el sentido poético de las comedias de este período, como en Sueño de una noche de verano; el prodigioso dominio del autor en la versificación le permitía distinguir a los personajes por el modo de hablar, amén de dotar a su lenguaje de una naturalidad casi coloquial. A partir de 1600, publica las grandes tragedias y las llamadas «comedias oscuras». Los grandes temas son tratados en las obras de este período con los acentos más ambiciosos, y sin embargo lo trágico surge siempre del detalle realista o del penetrante tratamiento psicológico del personaje, que induce al espectador a identificarse con él: así, Hamlet refleja la incapacidad de actuar ante el dilema moral entre venganza y perdón, Otelo, la crueldad gratuita de los celos, y Macbeth, la cruel tentación del poder. En sus últimas obras, a partir de 1608, cambia de registro y entra en el género de la tragicomedia, a menudo con un final feliz en el que se entrevé la posibilidad de la reconciliación, como sucede en Pericles. Shakespeare publicó en vida tan sólo 16 de las </w:t>
      </w:r>
      <w:r w:rsidRPr="00360C42">
        <w:lastRenderedPageBreak/>
        <w:t>obras que se le atribuyen; por ello, algunas de ellas posiblemente se hubieran perdido de no publicarse, pocos años después de la muerte del poeta, el Folio, volumen recopilatorio que serviría de base para todas las ediciones posteriores.</w:t>
      </w:r>
      <w:r w:rsidRPr="00360C42">
        <w:cr/>
        <w:t>Obras maestras</w:t>
      </w:r>
      <w:proofErr w:type="gramStart"/>
      <w:r w:rsidRPr="00360C42">
        <w:t xml:space="preserve">: </w:t>
      </w:r>
      <w:r w:rsidRPr="00360C42">
        <w:cr/>
        <w:t>Comedias</w:t>
      </w:r>
      <w:proofErr w:type="gramEnd"/>
      <w:r w:rsidRPr="00360C42">
        <w:t>:</w:t>
      </w:r>
      <w:r w:rsidRPr="00360C42">
        <w:cr/>
        <w:t>La comedia de las equivocaciones (</w:t>
      </w:r>
      <w:proofErr w:type="spellStart"/>
      <w:r w:rsidRPr="00360C42">
        <w:t>The</w:t>
      </w:r>
      <w:proofErr w:type="spellEnd"/>
      <w:r w:rsidRPr="00360C42">
        <w:t xml:space="preserve"> </w:t>
      </w:r>
      <w:proofErr w:type="spellStart"/>
      <w:r w:rsidRPr="00360C42">
        <w:t>Comedy</w:t>
      </w:r>
      <w:proofErr w:type="spellEnd"/>
      <w:r w:rsidRPr="00360C42">
        <w:t xml:space="preserve"> of </w:t>
      </w:r>
      <w:proofErr w:type="spellStart"/>
      <w:r w:rsidRPr="00360C42">
        <w:t>Errors</w:t>
      </w:r>
      <w:proofErr w:type="spellEnd"/>
      <w:r w:rsidRPr="00360C42">
        <w:t>, 1592-1593)</w:t>
      </w:r>
      <w:r w:rsidRPr="00360C42">
        <w:cr/>
        <w:t>El sueño de una noche de verano (</w:t>
      </w:r>
      <w:proofErr w:type="spellStart"/>
      <w:r w:rsidRPr="00360C42">
        <w:t>Midsummer</w:t>
      </w:r>
      <w:proofErr w:type="spellEnd"/>
      <w:r w:rsidRPr="00360C42">
        <w:t xml:space="preserve"> </w:t>
      </w:r>
      <w:proofErr w:type="spellStart"/>
      <w:r w:rsidRPr="00360C42">
        <w:t>Night's</w:t>
      </w:r>
      <w:proofErr w:type="spellEnd"/>
      <w:r w:rsidRPr="00360C42">
        <w:t xml:space="preserve"> </w:t>
      </w:r>
      <w:proofErr w:type="spellStart"/>
      <w:r w:rsidRPr="00360C42">
        <w:t>Dream</w:t>
      </w:r>
      <w:proofErr w:type="spellEnd"/>
      <w:r w:rsidRPr="00360C42">
        <w:t>, 1595-1596)</w:t>
      </w:r>
      <w:r w:rsidRPr="00360C42">
        <w:cr/>
        <w:t>El mercader de Venecia (</w:t>
      </w:r>
      <w:proofErr w:type="spellStart"/>
      <w:r w:rsidRPr="00360C42">
        <w:t>The</w:t>
      </w:r>
      <w:proofErr w:type="spellEnd"/>
      <w:r w:rsidRPr="00360C42">
        <w:t xml:space="preserve"> Merchant of </w:t>
      </w:r>
      <w:proofErr w:type="spellStart"/>
      <w:r w:rsidRPr="00360C42">
        <w:t>Venice</w:t>
      </w:r>
      <w:proofErr w:type="spellEnd"/>
      <w:r w:rsidRPr="00360C42">
        <w:t>, 1596-1597)</w:t>
      </w:r>
      <w:r w:rsidRPr="00360C42">
        <w:cr/>
        <w:t>Mucho ruido y pocas nueces (</w:t>
      </w:r>
      <w:proofErr w:type="spellStart"/>
      <w:r w:rsidRPr="00360C42">
        <w:t>Much</w:t>
      </w:r>
      <w:proofErr w:type="spellEnd"/>
      <w:r w:rsidRPr="00360C42">
        <w:t xml:space="preserve"> Ado </w:t>
      </w:r>
      <w:proofErr w:type="spellStart"/>
      <w:r w:rsidRPr="00360C42">
        <w:t>About</w:t>
      </w:r>
      <w:proofErr w:type="spellEnd"/>
      <w:r w:rsidRPr="00360C42">
        <w:t xml:space="preserve"> </w:t>
      </w:r>
      <w:proofErr w:type="spellStart"/>
      <w:r w:rsidRPr="00360C42">
        <w:t>Nothing</w:t>
      </w:r>
      <w:proofErr w:type="spellEnd"/>
      <w:r w:rsidRPr="00360C42">
        <w:t>, 1598-1599)</w:t>
      </w:r>
      <w:r w:rsidRPr="00360C42">
        <w:cr/>
        <w:t xml:space="preserve">Como gustéis (As </w:t>
      </w:r>
      <w:proofErr w:type="spellStart"/>
      <w:r w:rsidRPr="00360C42">
        <w:t>you</w:t>
      </w:r>
      <w:proofErr w:type="spellEnd"/>
      <w:r w:rsidRPr="00360C42">
        <w:t xml:space="preserve"> </w:t>
      </w:r>
      <w:proofErr w:type="spellStart"/>
      <w:r w:rsidRPr="00360C42">
        <w:t>like</w:t>
      </w:r>
      <w:proofErr w:type="spellEnd"/>
      <w:r w:rsidRPr="00360C42">
        <w:t xml:space="preserve"> </w:t>
      </w:r>
      <w:proofErr w:type="spellStart"/>
      <w:r w:rsidRPr="00360C42">
        <w:t>it</w:t>
      </w:r>
      <w:proofErr w:type="spellEnd"/>
      <w:r w:rsidRPr="00360C42">
        <w:t>, 1599-1600)</w:t>
      </w:r>
      <w:r w:rsidRPr="00360C42">
        <w:cr/>
        <w:t>Medida por medida (</w:t>
      </w:r>
      <w:proofErr w:type="spellStart"/>
      <w:r w:rsidRPr="00360C42">
        <w:t>Measure</w:t>
      </w:r>
      <w:proofErr w:type="spellEnd"/>
      <w:r w:rsidRPr="00360C42">
        <w:t xml:space="preserve"> </w:t>
      </w:r>
      <w:proofErr w:type="spellStart"/>
      <w:r w:rsidRPr="00360C42">
        <w:t>for</w:t>
      </w:r>
      <w:proofErr w:type="spellEnd"/>
      <w:r w:rsidRPr="00360C42">
        <w:t xml:space="preserve"> </w:t>
      </w:r>
      <w:proofErr w:type="spellStart"/>
      <w:r w:rsidRPr="00360C42">
        <w:t>measure</w:t>
      </w:r>
      <w:proofErr w:type="spellEnd"/>
      <w:r w:rsidRPr="00360C42">
        <w:t>, 1604-1605).</w:t>
      </w:r>
      <w:r w:rsidRPr="00360C42">
        <w:cr/>
        <w:t>Tragedias:</w:t>
      </w:r>
      <w:r w:rsidRPr="00360C42">
        <w:cr/>
        <w:t xml:space="preserve">Romeo y Julieta (Romeo and </w:t>
      </w:r>
      <w:proofErr w:type="spellStart"/>
      <w:r w:rsidRPr="00360C42">
        <w:t>Juliet</w:t>
      </w:r>
      <w:proofErr w:type="spellEnd"/>
      <w:r w:rsidRPr="00360C42">
        <w:t>, 1595)</w:t>
      </w:r>
      <w:r w:rsidRPr="00360C42">
        <w:cr/>
        <w:t>Julio César (</w:t>
      </w:r>
      <w:proofErr w:type="spellStart"/>
      <w:r w:rsidRPr="00360C42">
        <w:t>Julius</w:t>
      </w:r>
      <w:proofErr w:type="spellEnd"/>
      <w:r w:rsidRPr="00360C42">
        <w:t xml:space="preserve"> </w:t>
      </w:r>
      <w:proofErr w:type="spellStart"/>
      <w:r w:rsidRPr="00360C42">
        <w:t>Caesar</w:t>
      </w:r>
      <w:proofErr w:type="spellEnd"/>
      <w:r w:rsidRPr="00360C42">
        <w:t>, 1600)</w:t>
      </w:r>
      <w:r w:rsidRPr="00360C42">
        <w:cr/>
        <w:t>Hamlet (1600-1601)</w:t>
      </w:r>
      <w:r w:rsidRPr="00360C42">
        <w:cr/>
        <w:t>Otelo (</w:t>
      </w:r>
      <w:proofErr w:type="spellStart"/>
      <w:r w:rsidRPr="00360C42">
        <w:t>Othello</w:t>
      </w:r>
      <w:proofErr w:type="spellEnd"/>
      <w:r w:rsidRPr="00360C42">
        <w:t>, 1602)</w:t>
      </w:r>
      <w:r w:rsidRPr="00360C42">
        <w:cr/>
        <w:t>Macbeth (1605-1606)</w:t>
      </w:r>
      <w:r w:rsidRPr="00360C42">
        <w:cr/>
        <w:t>El rey Lear (King Lear, 1605).</w:t>
      </w:r>
      <w:r w:rsidRPr="00360C42">
        <w:cr/>
        <w:t>Poesía:</w:t>
      </w:r>
      <w:r w:rsidRPr="00360C42">
        <w:cr/>
        <w:t>Venus y Adonis (Venus and Adonis, 1593)</w:t>
      </w:r>
      <w:r w:rsidRPr="00360C42">
        <w:cr/>
        <w:t>La violación de Lucrecia (</w:t>
      </w:r>
      <w:proofErr w:type="spellStart"/>
      <w:r w:rsidRPr="00360C42">
        <w:t>The</w:t>
      </w:r>
      <w:proofErr w:type="spellEnd"/>
      <w:r w:rsidRPr="00360C42">
        <w:t xml:space="preserve"> Rape of Lucrecia, 1594)</w:t>
      </w:r>
      <w:r w:rsidRPr="00360C42">
        <w:cr/>
        <w:t>Sonetos (</w:t>
      </w:r>
      <w:proofErr w:type="spellStart"/>
      <w:r w:rsidRPr="00360C42">
        <w:t>Sonnets</w:t>
      </w:r>
      <w:proofErr w:type="spellEnd"/>
      <w:r w:rsidRPr="00360C42">
        <w:t>, 1600-1609).</w:t>
      </w:r>
      <w:r w:rsidRPr="00360C42">
        <w:cr/>
        <w:t>Citas</w:t>
      </w:r>
      <w:proofErr w:type="gramStart"/>
      <w:r w:rsidRPr="00360C42">
        <w:t xml:space="preserve">: </w:t>
      </w:r>
      <w:r w:rsidRPr="00360C42">
        <w:cr/>
        <w:t>«</w:t>
      </w:r>
      <w:proofErr w:type="gramEnd"/>
      <w:r w:rsidRPr="00360C42">
        <w:t>El resto es silencio.»</w:t>
      </w:r>
      <w:r w:rsidRPr="00360C42">
        <w:cr/>
      </w:r>
      <w:r w:rsidRPr="00360C42">
        <w:cr/>
        <w:t>Hamlet</w:t>
      </w:r>
      <w:r w:rsidRPr="00360C42">
        <w:cr/>
      </w:r>
    </w:p>
    <w:sectPr w:rsidR="00265CD3" w:rsidSect="001757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C42"/>
    <w:rsid w:val="001757AF"/>
    <w:rsid w:val="00360C42"/>
    <w:rsid w:val="0067263E"/>
    <w:rsid w:val="00DC22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1</cp:revision>
  <dcterms:created xsi:type="dcterms:W3CDTF">2019-12-10T00:25:00Z</dcterms:created>
  <dcterms:modified xsi:type="dcterms:W3CDTF">2019-12-10T00:27:00Z</dcterms:modified>
</cp:coreProperties>
</file>